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28" w:rsidRPr="000F5228" w:rsidRDefault="000F5228" w:rsidP="000F5228">
      <w:pPr>
        <w:pStyle w:val="Standard"/>
        <w:ind w:firstLine="708"/>
        <w:jc w:val="center"/>
        <w:rPr>
          <w:b/>
          <w:sz w:val="32"/>
          <w:szCs w:val="32"/>
          <w:lang w:val="uk-UA"/>
        </w:rPr>
      </w:pPr>
      <w:r w:rsidRPr="000F5228">
        <w:rPr>
          <w:b/>
          <w:sz w:val="32"/>
          <w:szCs w:val="32"/>
          <w:lang w:val="uk-UA"/>
        </w:rPr>
        <w:t>Вимоги з техніки безпеки на пішохідні змагання КМФСТ 2017 року</w:t>
      </w:r>
    </w:p>
    <w:p w:rsidR="000F5228" w:rsidRDefault="000F5228" w:rsidP="000F5228">
      <w:pPr>
        <w:pStyle w:val="Standard"/>
        <w:ind w:firstLine="708"/>
        <w:jc w:val="center"/>
        <w:rPr>
          <w:b/>
          <w:lang w:val="uk-UA"/>
        </w:rPr>
      </w:pPr>
    </w:p>
    <w:p w:rsidR="000F5228" w:rsidRPr="003C5AE7" w:rsidRDefault="000F5228" w:rsidP="000F5228">
      <w:pPr>
        <w:pStyle w:val="Standard"/>
        <w:ind w:firstLine="708"/>
        <w:jc w:val="center"/>
        <w:rPr>
          <w:sz w:val="28"/>
          <w:szCs w:val="28"/>
          <w:lang w:val="ru-RU"/>
        </w:rPr>
      </w:pPr>
      <w:r w:rsidRPr="000F5228">
        <w:rPr>
          <w:b/>
          <w:sz w:val="28"/>
          <w:szCs w:val="28"/>
          <w:lang w:val="uk-UA"/>
        </w:rPr>
        <w:t>Вимоги до одягу та спорядження учасників.</w:t>
      </w:r>
    </w:p>
    <w:p w:rsidR="000F5228" w:rsidRPr="003C5AE7" w:rsidRDefault="000F5228" w:rsidP="000F5228">
      <w:pPr>
        <w:pStyle w:val="Standard"/>
        <w:ind w:firstLine="708"/>
        <w:jc w:val="center"/>
        <w:rPr>
          <w:b/>
          <w:sz w:val="28"/>
          <w:szCs w:val="28"/>
          <w:lang w:val="ru-RU"/>
        </w:rPr>
      </w:pPr>
    </w:p>
    <w:p w:rsidR="000F5228" w:rsidRPr="003C5AE7" w:rsidRDefault="000F5228" w:rsidP="000F5228">
      <w:pPr>
        <w:pStyle w:val="Standard"/>
        <w:ind w:firstLine="708"/>
        <w:jc w:val="both"/>
        <w:rPr>
          <w:sz w:val="28"/>
          <w:szCs w:val="28"/>
          <w:lang w:val="ru-RU"/>
        </w:rPr>
      </w:pPr>
      <w:r w:rsidRPr="000F5228">
        <w:rPr>
          <w:sz w:val="28"/>
          <w:szCs w:val="28"/>
          <w:lang w:val="uk-UA"/>
        </w:rPr>
        <w:t>При проходженні дистанції учасники повинні бути в захисних шоломах. Не допускаються велосипедні та хокейні шоломи. Шолом повинен бути обладнаний амортизатором.</w:t>
      </w:r>
    </w:p>
    <w:p w:rsidR="000F5228" w:rsidRPr="003C5AE7" w:rsidRDefault="000F5228" w:rsidP="000F5228">
      <w:pPr>
        <w:pStyle w:val="Standard"/>
        <w:ind w:firstLine="708"/>
        <w:jc w:val="both"/>
        <w:rPr>
          <w:sz w:val="28"/>
          <w:szCs w:val="28"/>
          <w:lang w:val="ru-RU"/>
        </w:rPr>
      </w:pPr>
      <w:r w:rsidRPr="000F5228">
        <w:rPr>
          <w:sz w:val="28"/>
          <w:szCs w:val="28"/>
          <w:lang w:val="uk-UA"/>
        </w:rPr>
        <w:t>Одяг повинен закривати лікті та коліна. Захисні рукавиці повинні закривати кисті рук</w:t>
      </w:r>
      <w:r>
        <w:rPr>
          <w:sz w:val="28"/>
          <w:szCs w:val="28"/>
          <w:lang w:val="uk-UA"/>
        </w:rPr>
        <w:t xml:space="preserve"> </w:t>
      </w:r>
      <w:r w:rsidRPr="0094579F">
        <w:rPr>
          <w:sz w:val="28"/>
          <w:szCs w:val="28"/>
          <w:lang w:val="uk-UA"/>
        </w:rPr>
        <w:t>та бути без пошкоджень з обох сторін.</w:t>
      </w:r>
    </w:p>
    <w:p w:rsidR="000F5228" w:rsidRPr="003C5AE7" w:rsidRDefault="000F5228" w:rsidP="000F5228">
      <w:pPr>
        <w:pStyle w:val="Standard"/>
        <w:ind w:firstLine="708"/>
        <w:jc w:val="both"/>
        <w:rPr>
          <w:sz w:val="28"/>
          <w:szCs w:val="28"/>
          <w:lang w:val="ru-RU"/>
        </w:rPr>
      </w:pPr>
      <w:r w:rsidRPr="000F5228">
        <w:rPr>
          <w:sz w:val="28"/>
          <w:szCs w:val="28"/>
          <w:lang w:val="uk-UA"/>
        </w:rPr>
        <w:t>Система учасника повинна бути зблокована основною мотузкою, або синтетичними стропами (сертифіковане, не саморобне) призначеними на відповідне навантаження.</w:t>
      </w:r>
    </w:p>
    <w:p w:rsidR="000F5228" w:rsidRPr="003C5AE7" w:rsidRDefault="000F5228" w:rsidP="000F5228">
      <w:pPr>
        <w:pStyle w:val="Standard"/>
        <w:ind w:firstLine="708"/>
        <w:jc w:val="center"/>
        <w:rPr>
          <w:b/>
          <w:sz w:val="28"/>
          <w:szCs w:val="28"/>
          <w:lang w:val="ru-RU"/>
        </w:rPr>
      </w:pPr>
    </w:p>
    <w:p w:rsidR="000F5228" w:rsidRPr="003C5AE7" w:rsidRDefault="000F5228" w:rsidP="000F5228">
      <w:pPr>
        <w:pStyle w:val="Standard"/>
        <w:ind w:firstLine="708"/>
        <w:jc w:val="center"/>
        <w:rPr>
          <w:sz w:val="28"/>
          <w:szCs w:val="28"/>
          <w:lang w:val="ru-RU"/>
        </w:rPr>
      </w:pPr>
      <w:r w:rsidRPr="000F5228">
        <w:rPr>
          <w:b/>
          <w:sz w:val="28"/>
          <w:szCs w:val="28"/>
          <w:lang w:val="uk-UA"/>
        </w:rPr>
        <w:t>Вимоги до командного спорядження.</w:t>
      </w:r>
    </w:p>
    <w:p w:rsidR="000F5228" w:rsidRPr="003C5AE7" w:rsidRDefault="000F5228" w:rsidP="000F5228">
      <w:pPr>
        <w:pStyle w:val="Standard"/>
        <w:ind w:firstLine="708"/>
        <w:jc w:val="center"/>
        <w:rPr>
          <w:b/>
          <w:sz w:val="28"/>
          <w:szCs w:val="28"/>
          <w:lang w:val="ru-RU"/>
        </w:rPr>
      </w:pPr>
    </w:p>
    <w:p w:rsidR="000F5228" w:rsidRPr="003C5AE7" w:rsidRDefault="000F5228" w:rsidP="000F5228">
      <w:pPr>
        <w:pStyle w:val="Standard"/>
        <w:ind w:firstLine="708"/>
        <w:jc w:val="both"/>
        <w:rPr>
          <w:sz w:val="28"/>
          <w:szCs w:val="28"/>
          <w:lang w:val="ru-RU"/>
        </w:rPr>
      </w:pPr>
      <w:r w:rsidRPr="000F5228">
        <w:rPr>
          <w:sz w:val="28"/>
          <w:szCs w:val="28"/>
          <w:lang w:val="uk-UA"/>
        </w:rPr>
        <w:t>Все саморобне спорядження</w:t>
      </w:r>
      <w:r>
        <w:rPr>
          <w:sz w:val="28"/>
          <w:szCs w:val="28"/>
          <w:lang w:val="uk-UA"/>
        </w:rPr>
        <w:t xml:space="preserve">, </w:t>
      </w:r>
      <w:r w:rsidRPr="0094579F">
        <w:rPr>
          <w:sz w:val="28"/>
          <w:szCs w:val="28"/>
          <w:lang w:val="uk-UA"/>
        </w:rPr>
        <w:t>якщо воно виконує поліспастову</w:t>
      </w:r>
      <w:r w:rsidR="00AB5D40" w:rsidRPr="0094579F">
        <w:rPr>
          <w:sz w:val="28"/>
          <w:szCs w:val="28"/>
          <w:lang w:val="uk-UA"/>
        </w:rPr>
        <w:t>, транспортну,</w:t>
      </w:r>
      <w:r w:rsidRPr="0094579F">
        <w:rPr>
          <w:sz w:val="28"/>
          <w:szCs w:val="28"/>
          <w:lang w:val="uk-UA"/>
        </w:rPr>
        <w:t xml:space="preserve"> </w:t>
      </w:r>
      <w:r w:rsidR="00AB5D40" w:rsidRPr="0094579F">
        <w:rPr>
          <w:sz w:val="28"/>
          <w:szCs w:val="28"/>
          <w:lang w:val="uk-UA"/>
        </w:rPr>
        <w:t xml:space="preserve">страху вальну </w:t>
      </w:r>
      <w:r w:rsidRPr="0094579F">
        <w:rPr>
          <w:sz w:val="28"/>
          <w:szCs w:val="28"/>
          <w:lang w:val="uk-UA"/>
        </w:rPr>
        <w:t xml:space="preserve"> функції,</w:t>
      </w:r>
      <w:r w:rsidRPr="000F5228">
        <w:rPr>
          <w:sz w:val="28"/>
          <w:szCs w:val="28"/>
          <w:lang w:val="uk-UA"/>
        </w:rPr>
        <w:t xml:space="preserve"> використовувати забороняється.</w:t>
      </w:r>
      <w:bookmarkStart w:id="0" w:name="_GoBack"/>
      <w:bookmarkEnd w:id="0"/>
    </w:p>
    <w:p w:rsidR="000F5228" w:rsidRPr="003C5AE7" w:rsidRDefault="000F5228" w:rsidP="000F5228">
      <w:pPr>
        <w:pStyle w:val="Standard"/>
        <w:ind w:firstLine="708"/>
        <w:jc w:val="both"/>
        <w:rPr>
          <w:sz w:val="28"/>
          <w:szCs w:val="28"/>
          <w:lang w:val="ru-RU"/>
        </w:rPr>
      </w:pPr>
      <w:r w:rsidRPr="000F5228">
        <w:rPr>
          <w:sz w:val="28"/>
          <w:szCs w:val="28"/>
          <w:lang w:val="uk-UA"/>
        </w:rPr>
        <w:t>Спорядження промислового виробництва, яке не має відміток про сертифікацію повинне бути представлене заступнику головного судді з безпеки для визначення можливості його використання за 1 годину до старту команди. Якщо команда має сумніви стосовно дозволу на використання спорядження, вона повинна показати це спорядження на нараді головному судді чи заступнику головного судді з безпеки.</w:t>
      </w:r>
    </w:p>
    <w:p w:rsidR="000F5228" w:rsidRPr="003C5AE7" w:rsidRDefault="000F5228" w:rsidP="000F5228">
      <w:pPr>
        <w:pStyle w:val="Standard"/>
        <w:ind w:firstLine="708"/>
        <w:jc w:val="both"/>
        <w:rPr>
          <w:sz w:val="28"/>
          <w:szCs w:val="28"/>
          <w:lang w:val="ru-RU"/>
        </w:rPr>
      </w:pPr>
      <w:r w:rsidRPr="000F5228">
        <w:rPr>
          <w:sz w:val="28"/>
          <w:szCs w:val="28"/>
          <w:lang w:val="uk-UA"/>
        </w:rPr>
        <w:t>Статичні мотузки для організації перил повинні бути діаметром не менше 10мм та без пошкоджень обплетення. Страховка здійснюється основною мотузкою або сертифікованою меншого діаметру, що призначена виробником для страховки (після повідомлення ГСК про її використання).</w:t>
      </w:r>
    </w:p>
    <w:p w:rsidR="000F5228" w:rsidRPr="003C5AE7" w:rsidRDefault="000F5228" w:rsidP="000F5228">
      <w:pPr>
        <w:pStyle w:val="Standard"/>
        <w:ind w:firstLine="708"/>
        <w:jc w:val="both"/>
        <w:rPr>
          <w:sz w:val="28"/>
          <w:szCs w:val="28"/>
          <w:lang w:val="ru-RU"/>
        </w:rPr>
      </w:pPr>
      <w:r w:rsidRPr="000F5228">
        <w:rPr>
          <w:sz w:val="28"/>
          <w:szCs w:val="28"/>
          <w:lang w:val="uk-UA"/>
        </w:rPr>
        <w:t>Петлі, перила, точки самостраховки, вуси самостраховки, відтяжки, обладнання нош можуть бути організовані при допомозі основної мотузки та синтетичної стропи розрахованої на відповідне навантаження.</w:t>
      </w:r>
    </w:p>
    <w:p w:rsidR="000F5228" w:rsidRPr="003C5AE7" w:rsidRDefault="000F5228" w:rsidP="000F5228">
      <w:pPr>
        <w:pStyle w:val="Standard"/>
        <w:ind w:firstLine="708"/>
        <w:jc w:val="both"/>
        <w:rPr>
          <w:sz w:val="28"/>
          <w:szCs w:val="28"/>
          <w:lang w:val="ru-RU"/>
        </w:rPr>
      </w:pPr>
      <w:r w:rsidRPr="000F5228">
        <w:rPr>
          <w:sz w:val="28"/>
          <w:szCs w:val="28"/>
          <w:lang w:val="uk-UA"/>
        </w:rPr>
        <w:t>Допускаються стандартні карабіни промислового виробництва із відповідним маркуванням, або супроводжуючою документацією. Усі карабіни що використовуються для наведення переправ, фактичного або можливого навантаження учасником повинні мати муфту що закручується, автоматичну або напівавтоматичну.</w:t>
      </w:r>
    </w:p>
    <w:p w:rsidR="000F5228" w:rsidRPr="003C5AE7" w:rsidRDefault="000F5228" w:rsidP="000F5228">
      <w:pPr>
        <w:pStyle w:val="Standard"/>
        <w:ind w:firstLine="708"/>
        <w:jc w:val="both"/>
        <w:rPr>
          <w:sz w:val="28"/>
          <w:szCs w:val="28"/>
          <w:lang w:val="ru-RU"/>
        </w:rPr>
      </w:pPr>
      <w:r w:rsidRPr="000F5228">
        <w:rPr>
          <w:sz w:val="28"/>
          <w:szCs w:val="28"/>
          <w:lang w:val="uk-UA"/>
        </w:rPr>
        <w:t xml:space="preserve">Для кріплення переправ, що організовуються із використанням поліспасту, до </w:t>
      </w:r>
      <w:proofErr w:type="spellStart"/>
      <w:r w:rsidRPr="000F5228">
        <w:rPr>
          <w:sz w:val="28"/>
          <w:szCs w:val="28"/>
          <w:lang w:val="uk-UA"/>
        </w:rPr>
        <w:t>поліспастної</w:t>
      </w:r>
      <w:proofErr w:type="spellEnd"/>
      <w:r w:rsidRPr="000F5228">
        <w:rPr>
          <w:sz w:val="28"/>
          <w:szCs w:val="28"/>
          <w:lang w:val="uk-UA"/>
        </w:rPr>
        <w:t xml:space="preserve"> опори може використовуватись один карабін призначений на навантаження не менше 30 </w:t>
      </w:r>
      <w:proofErr w:type="spellStart"/>
      <w:r w:rsidRPr="000F5228">
        <w:rPr>
          <w:sz w:val="28"/>
          <w:szCs w:val="28"/>
          <w:lang w:val="uk-UA"/>
        </w:rPr>
        <w:t>кN</w:t>
      </w:r>
      <w:proofErr w:type="spellEnd"/>
      <w:r w:rsidRPr="000F5228">
        <w:rPr>
          <w:sz w:val="28"/>
          <w:szCs w:val="28"/>
          <w:lang w:val="uk-UA"/>
        </w:rPr>
        <w:t xml:space="preserve">. У цьому випадку ці карабіни повинні бути силами команди чітко промарковані матеріалом, який буде виданий команді за 1 годину до старту. Ці карабіни повинні бути задекларовані за 1 годину до старту команди. Усі інші не задекларовані та не марковані карабіни не можуть самостійно використовуватись для кріплення зазначених переправ. Карабінів, призначених на навантаження не менше 22 </w:t>
      </w:r>
      <w:proofErr w:type="spellStart"/>
      <w:r w:rsidRPr="000F5228">
        <w:rPr>
          <w:sz w:val="28"/>
          <w:szCs w:val="28"/>
          <w:lang w:val="uk-UA"/>
        </w:rPr>
        <w:t>кN</w:t>
      </w:r>
      <w:proofErr w:type="spellEnd"/>
      <w:r w:rsidRPr="000F5228">
        <w:rPr>
          <w:sz w:val="28"/>
          <w:szCs w:val="28"/>
          <w:lang w:val="uk-UA"/>
        </w:rPr>
        <w:t xml:space="preserve">, повинно бути два. Якщо на дистанції карабін буде відповідно не промаркований, суддя вимагатиме два карабіни.  </w:t>
      </w:r>
    </w:p>
    <w:p w:rsidR="000F5228" w:rsidRPr="003C5AE7" w:rsidRDefault="000F5228" w:rsidP="000F5228">
      <w:pPr>
        <w:pStyle w:val="Standard"/>
        <w:ind w:firstLine="708"/>
        <w:jc w:val="both"/>
        <w:rPr>
          <w:sz w:val="28"/>
          <w:szCs w:val="28"/>
          <w:lang w:val="ru-RU"/>
        </w:rPr>
      </w:pPr>
      <w:r w:rsidRPr="000F5228">
        <w:rPr>
          <w:sz w:val="28"/>
          <w:szCs w:val="28"/>
          <w:lang w:val="uk-UA"/>
        </w:rPr>
        <w:t xml:space="preserve">При використанні у </w:t>
      </w:r>
      <w:proofErr w:type="spellStart"/>
      <w:r w:rsidRPr="000F5228">
        <w:rPr>
          <w:sz w:val="28"/>
          <w:szCs w:val="28"/>
          <w:lang w:val="uk-UA"/>
        </w:rPr>
        <w:t>поліспастній</w:t>
      </w:r>
      <w:proofErr w:type="spellEnd"/>
      <w:r w:rsidRPr="000F5228">
        <w:rPr>
          <w:sz w:val="28"/>
          <w:szCs w:val="28"/>
          <w:lang w:val="uk-UA"/>
        </w:rPr>
        <w:t xml:space="preserve"> системі не сертифікованих блоків, при допуску їх технічною комісією, шківи поліспасту повинні додатково проходити через дублюючі карабіни біля кожного блоку.</w:t>
      </w:r>
    </w:p>
    <w:p w:rsidR="000F5228" w:rsidRPr="003C5AE7" w:rsidRDefault="000F5228" w:rsidP="000F5228">
      <w:pPr>
        <w:pStyle w:val="Standard"/>
        <w:ind w:firstLine="708"/>
        <w:jc w:val="both"/>
        <w:rPr>
          <w:sz w:val="28"/>
          <w:szCs w:val="28"/>
          <w:lang w:val="ru-RU"/>
        </w:rPr>
      </w:pPr>
      <w:r w:rsidRPr="000F5228">
        <w:rPr>
          <w:sz w:val="28"/>
          <w:szCs w:val="28"/>
          <w:lang w:val="uk-UA"/>
        </w:rPr>
        <w:t xml:space="preserve">При використанні пристрою, що замінює </w:t>
      </w:r>
      <w:proofErr w:type="spellStart"/>
      <w:r w:rsidRPr="000F5228">
        <w:rPr>
          <w:sz w:val="28"/>
          <w:szCs w:val="28"/>
          <w:lang w:val="uk-UA"/>
        </w:rPr>
        <w:t>схоплюючий</w:t>
      </w:r>
      <w:proofErr w:type="spellEnd"/>
      <w:r w:rsidRPr="000F5228">
        <w:rPr>
          <w:sz w:val="28"/>
          <w:szCs w:val="28"/>
          <w:lang w:val="uk-UA"/>
        </w:rPr>
        <w:t xml:space="preserve">, вузол для самостраховки, </w:t>
      </w:r>
      <w:r w:rsidRPr="000F5228">
        <w:rPr>
          <w:sz w:val="28"/>
          <w:szCs w:val="28"/>
          <w:lang w:val="uk-UA"/>
        </w:rPr>
        <w:lastRenderedPageBreak/>
        <w:t>на подвійній мотузці, мотузки повинні бути одного типу (та діаметру). Або одна і та сама мотузка, або дві однакові мотузки ( діаметру).</w:t>
      </w:r>
    </w:p>
    <w:p w:rsidR="000F5228" w:rsidRPr="003C5AE7" w:rsidRDefault="000F5228" w:rsidP="000F5228">
      <w:pPr>
        <w:pStyle w:val="Standard"/>
        <w:ind w:firstLine="708"/>
        <w:jc w:val="both"/>
        <w:rPr>
          <w:sz w:val="28"/>
          <w:szCs w:val="28"/>
          <w:lang w:val="ru-RU"/>
        </w:rPr>
      </w:pPr>
      <w:r w:rsidRPr="000F5228">
        <w:rPr>
          <w:sz w:val="28"/>
          <w:szCs w:val="28"/>
          <w:lang w:val="uk-UA"/>
        </w:rPr>
        <w:t xml:space="preserve">Для кріплення поліспасту до перильної мотузки може використовуватись подвійний </w:t>
      </w:r>
      <w:proofErr w:type="spellStart"/>
      <w:r w:rsidRPr="000F5228">
        <w:rPr>
          <w:sz w:val="28"/>
          <w:szCs w:val="28"/>
          <w:lang w:val="uk-UA"/>
        </w:rPr>
        <w:t>схоплюючий</w:t>
      </w:r>
      <w:proofErr w:type="spellEnd"/>
      <w:r w:rsidRPr="000F5228">
        <w:rPr>
          <w:sz w:val="28"/>
          <w:szCs w:val="28"/>
          <w:lang w:val="uk-UA"/>
        </w:rPr>
        <w:t xml:space="preserve"> вузол, два </w:t>
      </w:r>
      <w:proofErr w:type="spellStart"/>
      <w:r w:rsidRPr="000F5228">
        <w:rPr>
          <w:sz w:val="28"/>
          <w:szCs w:val="28"/>
          <w:lang w:val="uk-UA"/>
        </w:rPr>
        <w:t>схоплюючих</w:t>
      </w:r>
      <w:proofErr w:type="spellEnd"/>
      <w:r w:rsidRPr="000F5228">
        <w:rPr>
          <w:sz w:val="28"/>
          <w:szCs w:val="28"/>
          <w:lang w:val="uk-UA"/>
        </w:rPr>
        <w:t xml:space="preserve"> навантажених рівномірно, технічний пристрій що не має гострих зубців і призначений для відповідного виду навантаження.</w:t>
      </w:r>
    </w:p>
    <w:p w:rsidR="000F5228" w:rsidRPr="003C5AE7" w:rsidRDefault="000F5228" w:rsidP="000F5228">
      <w:pPr>
        <w:pStyle w:val="Standard"/>
        <w:ind w:firstLine="708"/>
        <w:jc w:val="both"/>
        <w:rPr>
          <w:sz w:val="28"/>
          <w:szCs w:val="28"/>
          <w:lang w:val="ru-RU"/>
        </w:rPr>
      </w:pPr>
      <w:r w:rsidRPr="000F5228">
        <w:rPr>
          <w:sz w:val="28"/>
          <w:szCs w:val="28"/>
          <w:lang w:val="uk-UA"/>
        </w:rPr>
        <w:t xml:space="preserve">На змаганнях в залах на всіх поличках та на вулиці в дійсно небезпечних зонах штрафи - втрата страховки, рух по незакріплених перилах або відсутність транспортного засобу будуть виставлятись як тільки учасник, починаючий рух, почне працювати з муфтою карабіна самостраховки (візьме карабін в руку та торкнеться пальцями муфти).  </w:t>
      </w:r>
    </w:p>
    <w:p w:rsidR="000F5228" w:rsidRPr="003C5AE7" w:rsidRDefault="000F5228" w:rsidP="000F5228">
      <w:pPr>
        <w:pStyle w:val="Standard"/>
        <w:ind w:firstLine="708"/>
        <w:jc w:val="center"/>
        <w:rPr>
          <w:b/>
          <w:sz w:val="28"/>
          <w:szCs w:val="28"/>
          <w:lang w:val="ru-RU"/>
        </w:rPr>
      </w:pPr>
    </w:p>
    <w:p w:rsidR="000F5228" w:rsidRPr="003C5AE7" w:rsidRDefault="000F5228" w:rsidP="000F5228">
      <w:pPr>
        <w:pStyle w:val="Standard"/>
        <w:ind w:firstLine="708"/>
        <w:jc w:val="center"/>
        <w:rPr>
          <w:sz w:val="28"/>
          <w:szCs w:val="28"/>
          <w:lang w:val="ru-RU"/>
        </w:rPr>
      </w:pPr>
      <w:r w:rsidRPr="000F5357">
        <w:rPr>
          <w:b/>
          <w:sz w:val="28"/>
          <w:szCs w:val="28"/>
          <w:lang w:val="uk-UA"/>
        </w:rPr>
        <w:t>Вимоги до в’язання "кокона" та нош</w:t>
      </w:r>
    </w:p>
    <w:p w:rsidR="000F5228" w:rsidRPr="003C5AE7" w:rsidRDefault="000F5228" w:rsidP="000F5228">
      <w:pPr>
        <w:pStyle w:val="Standard"/>
        <w:ind w:firstLine="708"/>
        <w:rPr>
          <w:sz w:val="28"/>
          <w:szCs w:val="28"/>
          <w:lang w:val="ru-RU"/>
        </w:rPr>
      </w:pPr>
      <w:r w:rsidRPr="000F5357">
        <w:rPr>
          <w:sz w:val="28"/>
          <w:szCs w:val="28"/>
          <w:lang w:val="uk-UA"/>
        </w:rPr>
        <w:t>Окрім вимог описаних в чинних настановах додатково повинні виконуватись наступні пункти:</w:t>
      </w:r>
    </w:p>
    <w:p w:rsidR="000F5228" w:rsidRPr="003C5AE7" w:rsidRDefault="000F5228" w:rsidP="000F5228">
      <w:pPr>
        <w:pStyle w:val="Standard"/>
        <w:numPr>
          <w:ilvl w:val="0"/>
          <w:numId w:val="1"/>
        </w:numPr>
        <w:tabs>
          <w:tab w:val="left" w:pos="0"/>
        </w:tabs>
        <w:rPr>
          <w:sz w:val="28"/>
          <w:szCs w:val="28"/>
          <w:lang w:val="ru-RU"/>
        </w:rPr>
      </w:pPr>
      <w:r w:rsidRPr="000F5357">
        <w:rPr>
          <w:sz w:val="28"/>
          <w:szCs w:val="28"/>
          <w:lang w:val="uk-UA"/>
        </w:rPr>
        <w:t>При навантажуванні будь-якого місця переплетення петель "кокон" не повинен затягуватись</w:t>
      </w:r>
    </w:p>
    <w:p w:rsidR="000F5228" w:rsidRPr="003C5AE7" w:rsidRDefault="000F5228" w:rsidP="000F5228">
      <w:pPr>
        <w:pStyle w:val="Standard"/>
        <w:numPr>
          <w:ilvl w:val="0"/>
          <w:numId w:val="1"/>
        </w:numPr>
        <w:tabs>
          <w:tab w:val="left" w:pos="0"/>
        </w:tabs>
        <w:rPr>
          <w:sz w:val="28"/>
          <w:szCs w:val="28"/>
          <w:lang w:val="ru-RU"/>
        </w:rPr>
      </w:pPr>
      <w:r w:rsidRPr="000F5357">
        <w:rPr>
          <w:sz w:val="28"/>
          <w:szCs w:val="28"/>
          <w:lang w:val="uk-UA"/>
        </w:rPr>
        <w:t>Кінці мотузки повинні бути жорстко зафіксовані в найближчому до відповідного кінця переплетенні петель</w:t>
      </w:r>
    </w:p>
    <w:p w:rsidR="000F5228" w:rsidRPr="003C5AE7" w:rsidRDefault="000F5228" w:rsidP="000F5228">
      <w:pPr>
        <w:pStyle w:val="Standard"/>
        <w:numPr>
          <w:ilvl w:val="0"/>
          <w:numId w:val="1"/>
        </w:numPr>
        <w:tabs>
          <w:tab w:val="left" w:pos="0"/>
        </w:tabs>
        <w:rPr>
          <w:sz w:val="28"/>
          <w:szCs w:val="28"/>
          <w:lang w:val="ru-RU"/>
        </w:rPr>
      </w:pPr>
      <w:r w:rsidRPr="000F5357">
        <w:rPr>
          <w:sz w:val="28"/>
          <w:szCs w:val="28"/>
          <w:lang w:val="uk-UA"/>
        </w:rPr>
        <w:t>Чохол (полотнище) нош повинно бути виконане з одного (цільного) шматка міцної   тканини.</w:t>
      </w:r>
    </w:p>
    <w:p w:rsidR="000F5228" w:rsidRPr="003C5AE7" w:rsidRDefault="000F5228" w:rsidP="000F5228">
      <w:pPr>
        <w:pStyle w:val="Standard"/>
        <w:numPr>
          <w:ilvl w:val="0"/>
          <w:numId w:val="1"/>
        </w:numPr>
        <w:tabs>
          <w:tab w:val="left" w:pos="0"/>
        </w:tabs>
        <w:rPr>
          <w:sz w:val="28"/>
          <w:szCs w:val="28"/>
          <w:lang w:val="ru-RU"/>
        </w:rPr>
      </w:pPr>
      <w:r w:rsidRPr="000F5357">
        <w:rPr>
          <w:sz w:val="28"/>
          <w:szCs w:val="28"/>
          <w:lang w:val="uk-UA"/>
        </w:rPr>
        <w:t>Чохол (полотнище) нош повинно бути представлене заступнику головного судді з безпеки для визначення можливості його використання за 1 годину до старту команди.</w:t>
      </w:r>
    </w:p>
    <w:p w:rsidR="000F5228" w:rsidRPr="003C5AE7" w:rsidRDefault="000F5228" w:rsidP="000F5228">
      <w:pPr>
        <w:pStyle w:val="Standard"/>
        <w:ind w:firstLine="708"/>
        <w:jc w:val="center"/>
        <w:rPr>
          <w:b/>
          <w:sz w:val="28"/>
          <w:szCs w:val="28"/>
          <w:lang w:val="ru-RU"/>
        </w:rPr>
      </w:pPr>
    </w:p>
    <w:p w:rsidR="000F5228" w:rsidRPr="003C5AE7" w:rsidRDefault="000F5228" w:rsidP="000F5228">
      <w:pPr>
        <w:pStyle w:val="Standard"/>
        <w:ind w:firstLine="708"/>
        <w:jc w:val="center"/>
        <w:rPr>
          <w:lang w:val="ru-RU"/>
        </w:rPr>
      </w:pPr>
      <w:r>
        <w:rPr>
          <w:b/>
          <w:sz w:val="28"/>
          <w:lang w:val="uk-UA"/>
        </w:rPr>
        <w:t>Можливі методи використання популярних технічних пристроїв.</w:t>
      </w:r>
    </w:p>
    <w:tbl>
      <w:tblPr>
        <w:tblW w:w="10756" w:type="dxa"/>
        <w:jc w:val="center"/>
        <w:tblLayout w:type="fixed"/>
        <w:tblCellMar>
          <w:left w:w="10" w:type="dxa"/>
          <w:right w:w="10" w:type="dxa"/>
        </w:tblCellMar>
        <w:tblLook w:val="04A0"/>
      </w:tblPr>
      <w:tblGrid>
        <w:gridCol w:w="3107"/>
        <w:gridCol w:w="937"/>
        <w:gridCol w:w="769"/>
        <w:gridCol w:w="848"/>
        <w:gridCol w:w="847"/>
        <w:gridCol w:w="848"/>
        <w:gridCol w:w="848"/>
        <w:gridCol w:w="850"/>
        <w:gridCol w:w="847"/>
        <w:gridCol w:w="855"/>
      </w:tblGrid>
      <w:tr w:rsidR="000F5228" w:rsidTr="003C5AE7">
        <w:trPr>
          <w:cantSplit/>
          <w:trHeight w:val="1626"/>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b/>
                <w:lang w:val="uk-UA"/>
              </w:rPr>
              <w:t>Пристрій</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spacing w:before="114" w:after="114"/>
              <w:ind w:left="113" w:right="113"/>
              <w:jc w:val="center"/>
              <w:rPr>
                <w:sz w:val="20"/>
                <w:szCs w:val="20"/>
              </w:rPr>
            </w:pPr>
            <w:r w:rsidRPr="003C5AE7">
              <w:rPr>
                <w:b/>
                <w:sz w:val="20"/>
                <w:szCs w:val="20"/>
                <w:lang w:val="uk-UA"/>
              </w:rPr>
              <w:t>Кріплення поліспасту</w:t>
            </w: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Блокування поліспасту</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Самостраховка на підйомі</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Самостраховка при спуску</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Засіб для підйому</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Засіб для спуску</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57" w:right="113"/>
              <w:jc w:val="center"/>
              <w:rPr>
                <w:sz w:val="20"/>
                <w:szCs w:val="20"/>
              </w:rPr>
            </w:pPr>
            <w:r w:rsidRPr="003C5AE7">
              <w:rPr>
                <w:b/>
                <w:sz w:val="20"/>
                <w:szCs w:val="20"/>
                <w:lang w:val="uk-UA"/>
              </w:rPr>
              <w:t>Фіксуючий при підйомі потерпілого</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Фіксуючий при спуску потерпілого</w:t>
            </w: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extDirection w:val="btLr"/>
            <w:vAlign w:val="center"/>
            <w:hideMark/>
          </w:tcPr>
          <w:p w:rsidR="000F5228" w:rsidRPr="003C5AE7" w:rsidRDefault="000F5228">
            <w:pPr>
              <w:pStyle w:val="Standard"/>
              <w:ind w:left="113" w:right="113"/>
              <w:jc w:val="center"/>
              <w:rPr>
                <w:sz w:val="20"/>
                <w:szCs w:val="20"/>
              </w:rPr>
            </w:pPr>
            <w:r w:rsidRPr="003C5AE7">
              <w:rPr>
                <w:b/>
                <w:sz w:val="20"/>
                <w:szCs w:val="20"/>
                <w:lang w:val="uk-UA"/>
              </w:rPr>
              <w:t>Страховка</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w:t>
            </w:r>
            <w:proofErr w:type="spellStart"/>
            <w:r>
              <w:rPr>
                <w:lang w:val="uk-UA"/>
              </w:rPr>
              <w:t>Жумар</w:t>
            </w:r>
            <w:proofErr w:type="spellEnd"/>
            <w:r>
              <w:rPr>
                <w:lang w:val="uk-UA"/>
              </w:rPr>
              <w:t>"</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jc w:val="both"/>
            </w:pPr>
            <w:r>
              <w:t>BASIC</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jc w:val="both"/>
            </w:pPr>
            <w:r>
              <w:t>SHUNT</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jc w:val="both"/>
            </w:pPr>
            <w:r>
              <w:t>ASAP</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GRIGRI</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I’D</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MICROCENDER</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72"/>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RESCUCENDER</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236"/>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DOUBLE MICROCENDER</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MICRO TRAXION</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MINI TRAXION</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PRO TRAXION</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CROLL</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t>PANTIN</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rPr>
                <w:u w:val="single"/>
                <w:shd w:val="clear" w:color="auto" w:fill="FFFFFF"/>
              </w:rPr>
              <w:t>TIBLOC</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sz w:val="22"/>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t>REVERSO</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t>REVERSINO</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lastRenderedPageBreak/>
              <w:t>VERSO, "</w:t>
            </w:r>
            <w:r w:rsidRPr="00AC23D0">
              <w:rPr>
                <w:lang w:val="uk-UA"/>
              </w:rPr>
              <w:t>стакан" і т.п.</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rPr>
                <w:u w:val="single"/>
                <w:shd w:val="clear" w:color="auto" w:fill="FFFFFF"/>
              </w:rPr>
              <w:t>STOP</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rPr>
                <w:u w:val="single"/>
                <w:shd w:val="clear" w:color="auto" w:fill="FFFFFF"/>
              </w:rPr>
              <w:t>SIMPLE</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sz w:val="22"/>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rPr>
                <w:u w:val="single"/>
                <w:shd w:val="clear" w:color="auto" w:fill="FFFFFF"/>
              </w:rPr>
              <w:t>"Cinch</w:t>
            </w:r>
            <w:r w:rsidRPr="00AC23D0">
              <w:t>"</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color w:val="000000"/>
                <w:shd w:val="clear" w:color="auto" w:fill="FFFFFF"/>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rPr>
                <w:shd w:val="clear" w:color="auto" w:fill="FFFFFF"/>
              </w:rPr>
              <w:t>"</w:t>
            </w:r>
            <w:r w:rsidRPr="00AC23D0">
              <w:rPr>
                <w:shd w:val="clear" w:color="auto" w:fill="FFFFFF"/>
                <w:lang w:val="uk-UA"/>
              </w:rPr>
              <w:t>вісімка", "шайба" і т.п.</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hideMark/>
          </w:tcPr>
          <w:p w:rsidR="000F5228" w:rsidRDefault="000F5228">
            <w:pPr>
              <w:pStyle w:val="Standard"/>
              <w:jc w:val="center"/>
            </w:pPr>
            <w:r>
              <w:rPr>
                <w:rFonts w:ascii="Segoe UI Symbol" w:hAnsi="Segoe UI Symbol"/>
                <w:color w:val="000000"/>
                <w:shd w:val="clear" w:color="auto" w:fill="FFFFFF"/>
              </w:rPr>
              <w:t>●</w:t>
            </w: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Pr="00AC23D0" w:rsidRDefault="000F5228">
            <w:pPr>
              <w:pStyle w:val="Standard"/>
            </w:pPr>
            <w:r w:rsidRPr="00AC23D0">
              <w:rPr>
                <w:u w:val="single"/>
                <w:shd w:val="clear" w:color="auto" w:fill="FFFFFF"/>
              </w:rPr>
              <w:t>RACK</w:t>
            </w:r>
            <w:r w:rsidRPr="00AC23D0">
              <w:rPr>
                <w:shd w:val="clear" w:color="auto" w:fill="FFFFFF"/>
              </w:rPr>
              <w:t xml:space="preserve">, </w:t>
            </w:r>
            <w:r w:rsidRPr="00AC23D0">
              <w:rPr>
                <w:u w:val="single"/>
                <w:shd w:val="clear" w:color="auto" w:fill="FFFFFF"/>
              </w:rPr>
              <w:t>"</w:t>
            </w:r>
            <w:proofErr w:type="spellStart"/>
            <w:r w:rsidRPr="00AC23D0">
              <w:rPr>
                <w:u w:val="single"/>
                <w:shd w:val="clear" w:color="auto" w:fill="FFFFFF"/>
                <w:lang w:val="uk-UA"/>
              </w:rPr>
              <w:t>Решетка</w:t>
            </w:r>
            <w:proofErr w:type="spellEnd"/>
            <w:r w:rsidRPr="00AC23D0">
              <w:rPr>
                <w:shd w:val="clear" w:color="auto" w:fill="FFFFFF"/>
              </w:rPr>
              <w:t xml:space="preserve">" </w:t>
            </w:r>
            <w:r w:rsidRPr="00AC23D0">
              <w:rPr>
                <w:shd w:val="clear" w:color="auto" w:fill="FFFFFF"/>
                <w:lang w:val="uk-UA"/>
              </w:rPr>
              <w:t>і т.п.</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color w:val="000000"/>
                <w:sz w:val="22"/>
                <w:shd w:val="clear" w:color="auto" w:fill="FFFFFF"/>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rPr>
                <w:color w:val="000000"/>
                <w:shd w:val="clear" w:color="auto" w:fill="FFFFFF"/>
              </w:rPr>
              <w:t>"</w:t>
            </w:r>
            <w:r>
              <w:rPr>
                <w:color w:val="000000"/>
                <w:shd w:val="clear" w:color="auto" w:fill="FFFFFF"/>
                <w:lang w:val="uk-UA"/>
              </w:rPr>
              <w:t>капля"</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color w:val="000000"/>
                <w:sz w:val="22"/>
                <w:shd w:val="clear" w:color="auto" w:fill="FFFFFF"/>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rPr>
                <w:color w:val="000000"/>
                <w:shd w:val="clear" w:color="auto" w:fill="FFFFFF"/>
                <w:lang w:val="uk-UA"/>
              </w:rPr>
              <w:t>Вузол "Гарда"</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color w:val="000000"/>
                <w:sz w:val="22"/>
                <w:shd w:val="clear" w:color="auto" w:fill="FFFFFF"/>
              </w:rPr>
            </w:pPr>
          </w:p>
        </w:tc>
      </w:tr>
      <w:tr w:rsidR="000F5228" w:rsidTr="003C5AE7">
        <w:trPr>
          <w:trHeight w:val="1"/>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hideMark/>
          </w:tcPr>
          <w:p w:rsidR="000F5228" w:rsidRDefault="000F5228">
            <w:pPr>
              <w:pStyle w:val="Standard"/>
            </w:pPr>
            <w:r>
              <w:rPr>
                <w:color w:val="000000"/>
                <w:shd w:val="clear" w:color="auto" w:fill="FFFFFF"/>
              </w:rPr>
              <w:t>"</w:t>
            </w:r>
            <w:proofErr w:type="spellStart"/>
            <w:r>
              <w:rPr>
                <w:color w:val="000000"/>
                <w:shd w:val="clear" w:color="auto" w:fill="FFFFFF"/>
                <w:lang w:val="uk-UA"/>
              </w:rPr>
              <w:t>Схоплюючий</w:t>
            </w:r>
            <w:proofErr w:type="spellEnd"/>
            <w:r>
              <w:rPr>
                <w:color w:val="000000"/>
                <w:shd w:val="clear" w:color="auto" w:fill="FFFFFF"/>
                <w:lang w:val="uk-UA"/>
              </w:rPr>
              <w:t>"</w:t>
            </w:r>
          </w:p>
        </w:tc>
        <w:tc>
          <w:tcPr>
            <w:tcW w:w="93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769"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8"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tcPr>
          <w:p w:rsidR="000F5228" w:rsidRDefault="000F5228">
            <w:pPr>
              <w:pStyle w:val="Standard"/>
              <w:jc w:val="center"/>
              <w:rPr>
                <w:rFonts w:ascii="Calibri" w:hAnsi="Calibri"/>
                <w:color w:val="000000"/>
                <w:sz w:val="22"/>
                <w:shd w:val="clear" w:color="auto" w:fill="FFFFFF"/>
              </w:rPr>
            </w:pPr>
          </w:p>
        </w:tc>
        <w:tc>
          <w:tcPr>
            <w:tcW w:w="850"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4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Default="000F5228">
            <w:pPr>
              <w:pStyle w:val="Standard"/>
              <w:jc w:val="center"/>
            </w:pPr>
            <w:r>
              <w:rPr>
                <w:rFonts w:ascii="Segoe UI Symbol" w:hAnsi="Segoe UI Symbol"/>
                <w:color w:val="000000"/>
                <w:shd w:val="clear" w:color="auto" w:fill="FFFFFF"/>
              </w:rPr>
              <w:t>●</w:t>
            </w:r>
          </w:p>
        </w:tc>
        <w:tc>
          <w:tcPr>
            <w:tcW w:w="85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rPr>
                <w:rFonts w:ascii="Calibri" w:hAnsi="Calibri"/>
                <w:color w:val="000000"/>
                <w:sz w:val="22"/>
                <w:shd w:val="clear" w:color="auto" w:fill="FFFFFF"/>
              </w:rPr>
            </w:pPr>
          </w:p>
        </w:tc>
      </w:tr>
      <w:tr w:rsidR="000F5228" w:rsidRPr="003C5AE7" w:rsidTr="003C5AE7">
        <w:trPr>
          <w:trHeight w:val="1768"/>
          <w:jc w:val="center"/>
        </w:trPr>
        <w:tc>
          <w:tcPr>
            <w:tcW w:w="3107" w:type="dxa"/>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Pr="003C5AE7" w:rsidRDefault="000F5228">
            <w:pPr>
              <w:pStyle w:val="Standard"/>
              <w:spacing w:line="276" w:lineRule="auto"/>
              <w:jc w:val="center"/>
              <w:rPr>
                <w:lang w:val="ru-RU"/>
              </w:rPr>
            </w:pPr>
            <w:r>
              <w:rPr>
                <w:color w:val="000000"/>
                <w:shd w:val="clear" w:color="auto" w:fill="FFFFFF"/>
                <w:lang w:val="uk-UA"/>
              </w:rPr>
              <w:t>Гальмівний пристрій (вісімка, шайба і т.п.);</w:t>
            </w:r>
          </w:p>
        </w:tc>
        <w:tc>
          <w:tcPr>
            <w:tcW w:w="3401" w:type="dxa"/>
            <w:gridSpan w:val="4"/>
            <w:tcBorders>
              <w:top w:val="single" w:sz="2" w:space="0" w:color="000001"/>
              <w:left w:val="single" w:sz="2" w:space="0" w:color="000001"/>
              <w:bottom w:val="single" w:sz="2" w:space="0" w:color="000001"/>
              <w:right w:val="nil"/>
            </w:tcBorders>
            <w:tcMar>
              <w:top w:w="0" w:type="dxa"/>
              <w:left w:w="108" w:type="dxa"/>
              <w:bottom w:w="0" w:type="dxa"/>
              <w:right w:w="108" w:type="dxa"/>
            </w:tcMar>
            <w:vAlign w:val="center"/>
            <w:hideMark/>
          </w:tcPr>
          <w:p w:rsidR="000F5228" w:rsidRPr="003C5AE7" w:rsidRDefault="000F5228" w:rsidP="003C5AE7">
            <w:pPr>
              <w:pStyle w:val="Standard"/>
              <w:numPr>
                <w:ilvl w:val="0"/>
                <w:numId w:val="2"/>
              </w:numPr>
              <w:tabs>
                <w:tab w:val="left" w:pos="332"/>
              </w:tabs>
              <w:ind w:left="332" w:hanging="332"/>
              <w:rPr>
                <w:lang w:val="ru-RU"/>
              </w:rPr>
            </w:pPr>
            <w:r>
              <w:rPr>
                <w:color w:val="000000"/>
                <w:shd w:val="clear" w:color="auto" w:fill="FFFFFF"/>
                <w:lang w:val="uk-UA"/>
              </w:rPr>
              <w:t>засіб для спуску по мотузці;</w:t>
            </w:r>
          </w:p>
          <w:p w:rsidR="000F5228" w:rsidRDefault="000F5228" w:rsidP="003C5AE7">
            <w:pPr>
              <w:pStyle w:val="Standard"/>
              <w:numPr>
                <w:ilvl w:val="0"/>
                <w:numId w:val="2"/>
              </w:numPr>
              <w:tabs>
                <w:tab w:val="left" w:pos="332"/>
              </w:tabs>
              <w:ind w:left="332" w:hanging="332"/>
            </w:pPr>
            <w:r>
              <w:rPr>
                <w:color w:val="000000"/>
                <w:shd w:val="clear" w:color="auto" w:fill="FFFFFF"/>
                <w:lang w:val="uk-UA"/>
              </w:rPr>
              <w:t>спуск потерпілого із супроводжуючим;</w:t>
            </w:r>
          </w:p>
          <w:p w:rsidR="000F5228" w:rsidRDefault="000F5228" w:rsidP="003C5AE7">
            <w:pPr>
              <w:pStyle w:val="Standard"/>
              <w:numPr>
                <w:ilvl w:val="0"/>
                <w:numId w:val="2"/>
              </w:numPr>
              <w:tabs>
                <w:tab w:val="left" w:pos="332"/>
              </w:tabs>
              <w:ind w:left="332" w:hanging="332"/>
            </w:pPr>
            <w:r>
              <w:rPr>
                <w:color w:val="000000"/>
                <w:shd w:val="clear" w:color="auto" w:fill="FFFFFF"/>
                <w:lang w:val="uk-UA"/>
              </w:rPr>
              <w:t>страховка</w:t>
            </w:r>
          </w:p>
        </w:tc>
        <w:tc>
          <w:tcPr>
            <w:tcW w:w="4248" w:type="dxa"/>
            <w:gridSpan w:val="5"/>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vAlign w:val="center"/>
            <w:hideMark/>
          </w:tcPr>
          <w:p w:rsidR="000F5228" w:rsidRPr="003C5AE7" w:rsidRDefault="000F5228" w:rsidP="003C5AE7">
            <w:pPr>
              <w:pStyle w:val="Standard"/>
              <w:tabs>
                <w:tab w:val="left" w:pos="332"/>
              </w:tabs>
              <w:spacing w:line="276" w:lineRule="auto"/>
              <w:ind w:left="332" w:right="-57" w:hanging="332"/>
              <w:rPr>
                <w:lang w:val="ru-RU"/>
              </w:rPr>
            </w:pPr>
            <w:r>
              <w:rPr>
                <w:color w:val="000000"/>
                <w:shd w:val="clear" w:color="auto" w:fill="FFFFFF"/>
                <w:lang w:val="uk-UA"/>
              </w:rPr>
              <w:t>використання пристрою із діаметром отвору для мотузки:</w:t>
            </w:r>
          </w:p>
          <w:p w:rsidR="000F5228" w:rsidRPr="003C5AE7" w:rsidRDefault="000F5228" w:rsidP="003C5AE7">
            <w:pPr>
              <w:pStyle w:val="Standard"/>
              <w:numPr>
                <w:ilvl w:val="0"/>
                <w:numId w:val="3"/>
              </w:numPr>
              <w:tabs>
                <w:tab w:val="left" w:pos="332"/>
              </w:tabs>
              <w:spacing w:line="276" w:lineRule="auto"/>
              <w:ind w:left="332" w:hanging="332"/>
              <w:rPr>
                <w:lang w:val="ru-RU"/>
              </w:rPr>
            </w:pPr>
            <w:r>
              <w:rPr>
                <w:color w:val="000000"/>
                <w:shd w:val="clear" w:color="auto" w:fill="FFFFFF"/>
                <w:lang w:val="uk-UA"/>
              </w:rPr>
              <w:t>до 12см - на одинарній або подвійній мотузці;</w:t>
            </w:r>
          </w:p>
          <w:p w:rsidR="000F5228" w:rsidRPr="003C5AE7" w:rsidRDefault="000F5228" w:rsidP="003C5AE7">
            <w:pPr>
              <w:pStyle w:val="Standard"/>
              <w:numPr>
                <w:ilvl w:val="0"/>
                <w:numId w:val="3"/>
              </w:numPr>
              <w:tabs>
                <w:tab w:val="left" w:pos="332"/>
              </w:tabs>
              <w:spacing w:line="276" w:lineRule="auto"/>
              <w:ind w:left="332" w:hanging="332"/>
              <w:rPr>
                <w:lang w:val="ru-RU"/>
              </w:rPr>
            </w:pPr>
            <w:r>
              <w:rPr>
                <w:color w:val="000000"/>
                <w:shd w:val="clear" w:color="auto" w:fill="FFFFFF"/>
                <w:lang w:val="uk-UA"/>
              </w:rPr>
              <w:t>більше 12 см - лише на подвійній мотузці</w:t>
            </w:r>
          </w:p>
        </w:tc>
      </w:tr>
    </w:tbl>
    <w:p w:rsidR="000F5228" w:rsidRPr="003C5AE7" w:rsidRDefault="000F5228" w:rsidP="000F5228">
      <w:pPr>
        <w:pStyle w:val="Standard"/>
        <w:spacing w:line="276" w:lineRule="auto"/>
        <w:rPr>
          <w:lang w:val="ru-RU"/>
        </w:rPr>
      </w:pPr>
      <w:r w:rsidRPr="003C5AE7">
        <w:rPr>
          <w:color w:val="000000"/>
          <w:sz w:val="22"/>
          <w:shd w:val="clear" w:color="auto" w:fill="FFFFFF"/>
          <w:lang w:val="ru-RU"/>
        </w:rPr>
        <w:t xml:space="preserve">* - </w:t>
      </w:r>
      <w:r>
        <w:rPr>
          <w:color w:val="000000"/>
          <w:sz w:val="22"/>
          <w:shd w:val="clear" w:color="auto" w:fill="FFFFFF"/>
          <w:lang w:val="uk-UA"/>
        </w:rPr>
        <w:t>при кріпленні на опорі і використанні згідно рекомендації виробника.</w:t>
      </w:r>
    </w:p>
    <w:p w:rsidR="000F5228" w:rsidRPr="00BA66AB" w:rsidRDefault="000F5228" w:rsidP="000F5228">
      <w:pPr>
        <w:pStyle w:val="Standard"/>
        <w:spacing w:line="276" w:lineRule="auto"/>
        <w:rPr>
          <w:lang w:val="uk-UA"/>
        </w:rPr>
      </w:pPr>
      <w:r w:rsidRPr="003C5AE7">
        <w:rPr>
          <w:color w:val="000000"/>
          <w:sz w:val="22"/>
          <w:shd w:val="clear" w:color="auto" w:fill="FFFFFF"/>
          <w:lang w:val="ru-RU"/>
        </w:rPr>
        <w:t xml:space="preserve">** - </w:t>
      </w:r>
      <w:r>
        <w:rPr>
          <w:color w:val="000000"/>
          <w:sz w:val="22"/>
          <w:shd w:val="clear" w:color="auto" w:fill="FFFFFF"/>
          <w:lang w:val="uk-UA"/>
        </w:rPr>
        <w:t>тільки для подвійної вірьовки.</w:t>
      </w:r>
    </w:p>
    <w:p w:rsidR="000F5228" w:rsidRPr="00BA66AB" w:rsidRDefault="000F5228" w:rsidP="000F5228">
      <w:pPr>
        <w:pStyle w:val="Standard"/>
        <w:spacing w:line="276" w:lineRule="auto"/>
        <w:rPr>
          <w:color w:val="000000"/>
          <w:sz w:val="22"/>
          <w:shd w:val="clear" w:color="auto" w:fill="FFFFFF"/>
          <w:lang w:val="uk-UA"/>
        </w:rPr>
      </w:pPr>
    </w:p>
    <w:p w:rsidR="000F5228" w:rsidRPr="003C5AE7" w:rsidRDefault="000F5228" w:rsidP="000F5228">
      <w:pPr>
        <w:pStyle w:val="Standard"/>
        <w:spacing w:line="276" w:lineRule="auto"/>
        <w:jc w:val="center"/>
        <w:rPr>
          <w:lang w:val="ru-RU"/>
        </w:rPr>
      </w:pPr>
      <w:r>
        <w:rPr>
          <w:b/>
          <w:color w:val="000000"/>
          <w:sz w:val="28"/>
          <w:u w:val="single"/>
          <w:shd w:val="clear" w:color="auto" w:fill="FFFFFF"/>
          <w:lang w:val="uk-UA"/>
        </w:rPr>
        <w:t>ЗАБОРОНЯЄТЬСЯ:</w:t>
      </w:r>
    </w:p>
    <w:p w:rsidR="000F5228" w:rsidRPr="003C5AE7" w:rsidRDefault="000F5228" w:rsidP="000F5228">
      <w:pPr>
        <w:pStyle w:val="Standard"/>
        <w:numPr>
          <w:ilvl w:val="0"/>
          <w:numId w:val="4"/>
        </w:numPr>
        <w:tabs>
          <w:tab w:val="left" w:pos="0"/>
        </w:tabs>
        <w:rPr>
          <w:lang w:val="ru-RU"/>
        </w:rPr>
      </w:pPr>
      <w:r>
        <w:rPr>
          <w:color w:val="000000"/>
          <w:sz w:val="28"/>
          <w:shd w:val="clear" w:color="auto" w:fill="FFFFFF"/>
          <w:lang w:val="uk-UA"/>
        </w:rPr>
        <w:t>рух по переправах, натягнутих поліспастом, з використанням затискачів з гострими зубцями;</w:t>
      </w:r>
    </w:p>
    <w:p w:rsidR="000F5228" w:rsidRPr="003C5AE7" w:rsidRDefault="000F5228" w:rsidP="000F5228">
      <w:pPr>
        <w:pStyle w:val="Standard"/>
        <w:numPr>
          <w:ilvl w:val="0"/>
          <w:numId w:val="4"/>
        </w:numPr>
        <w:tabs>
          <w:tab w:val="left" w:pos="0"/>
        </w:tabs>
        <w:rPr>
          <w:lang w:val="ru-RU"/>
        </w:rPr>
      </w:pPr>
      <w:r>
        <w:rPr>
          <w:color w:val="000000"/>
          <w:sz w:val="28"/>
          <w:shd w:val="clear" w:color="auto" w:fill="FFFFFF"/>
          <w:lang w:val="uk-UA"/>
        </w:rPr>
        <w:t>використання карабінів з навантаженням менше 30кН для натяжки та кріплення переправ за допомогою поліспасту;</w:t>
      </w:r>
    </w:p>
    <w:p w:rsidR="000F5228" w:rsidRPr="003C5AE7" w:rsidRDefault="000F5228" w:rsidP="000F5228">
      <w:pPr>
        <w:pStyle w:val="Standard"/>
        <w:numPr>
          <w:ilvl w:val="0"/>
          <w:numId w:val="4"/>
        </w:numPr>
        <w:tabs>
          <w:tab w:val="left" w:pos="0"/>
        </w:tabs>
        <w:rPr>
          <w:lang w:val="ru-RU"/>
        </w:rPr>
      </w:pPr>
      <w:r>
        <w:rPr>
          <w:color w:val="000000"/>
          <w:sz w:val="28"/>
          <w:shd w:val="clear" w:color="auto" w:fill="FFFFFF"/>
          <w:lang w:val="uk-UA"/>
        </w:rPr>
        <w:t xml:space="preserve">використання блоків, роликів, тандемів та т.п. для руху учасників на </w:t>
      </w:r>
      <w:proofErr w:type="spellStart"/>
      <w:r>
        <w:rPr>
          <w:color w:val="000000"/>
          <w:sz w:val="28"/>
          <w:shd w:val="clear" w:color="auto" w:fill="FFFFFF"/>
          <w:lang w:val="uk-UA"/>
        </w:rPr>
        <w:t>крутопохилій</w:t>
      </w:r>
      <w:proofErr w:type="spellEnd"/>
      <w:r>
        <w:rPr>
          <w:color w:val="000000"/>
          <w:sz w:val="28"/>
          <w:shd w:val="clear" w:color="auto" w:fill="FFFFFF"/>
          <w:lang w:val="uk-UA"/>
        </w:rPr>
        <w:t xml:space="preserve"> переправі вниз.</w:t>
      </w:r>
    </w:p>
    <w:p w:rsidR="000F5228" w:rsidRPr="003C5AE7" w:rsidRDefault="000F5228" w:rsidP="000F5228">
      <w:pPr>
        <w:pStyle w:val="Standard"/>
        <w:ind w:firstLine="708"/>
        <w:jc w:val="center"/>
        <w:rPr>
          <w:color w:val="000000"/>
          <w:sz w:val="28"/>
          <w:shd w:val="clear" w:color="auto" w:fill="FFFFFF"/>
          <w:lang w:val="ru-RU"/>
        </w:rPr>
      </w:pPr>
    </w:p>
    <w:p w:rsidR="000F5228" w:rsidRDefault="000F5228" w:rsidP="000F5228">
      <w:pPr>
        <w:pStyle w:val="Standard"/>
        <w:spacing w:line="276" w:lineRule="auto"/>
        <w:jc w:val="center"/>
      </w:pPr>
      <w:r>
        <w:rPr>
          <w:b/>
          <w:color w:val="000000"/>
          <w:sz w:val="28"/>
          <w:u w:val="single"/>
          <w:shd w:val="clear" w:color="auto" w:fill="FFFFFF"/>
          <w:lang w:val="uk-UA"/>
        </w:rPr>
        <w:t>ДОЗВОЛЯЄТЬСЯ:</w:t>
      </w:r>
    </w:p>
    <w:p w:rsidR="000F5228" w:rsidRPr="003C5AE7" w:rsidRDefault="000F5228" w:rsidP="000F5228">
      <w:pPr>
        <w:pStyle w:val="Standard"/>
        <w:numPr>
          <w:ilvl w:val="0"/>
          <w:numId w:val="5"/>
        </w:numPr>
        <w:tabs>
          <w:tab w:val="left" w:pos="0"/>
        </w:tabs>
        <w:rPr>
          <w:lang w:val="ru-RU"/>
        </w:rPr>
      </w:pPr>
      <w:r>
        <w:rPr>
          <w:color w:val="000000"/>
          <w:sz w:val="28"/>
          <w:shd w:val="clear" w:color="auto" w:fill="FFFFFF"/>
          <w:lang w:val="uk-UA"/>
        </w:rPr>
        <w:t>рух по переправах, натягнутих поліспастом, з використанням затискачів без гострих зубців;</w:t>
      </w:r>
    </w:p>
    <w:p w:rsidR="000F5228" w:rsidRPr="003C5AE7" w:rsidRDefault="000F5228" w:rsidP="00AC23D0">
      <w:pPr>
        <w:pStyle w:val="Standard"/>
        <w:numPr>
          <w:ilvl w:val="0"/>
          <w:numId w:val="5"/>
        </w:numPr>
        <w:tabs>
          <w:tab w:val="left" w:pos="0"/>
        </w:tabs>
        <w:rPr>
          <w:lang w:val="ru-RU"/>
        </w:rPr>
      </w:pPr>
      <w:r>
        <w:rPr>
          <w:color w:val="000000"/>
          <w:sz w:val="28"/>
          <w:shd w:val="clear" w:color="auto" w:fill="FFFFFF"/>
          <w:lang w:val="uk-UA"/>
        </w:rPr>
        <w:t xml:space="preserve">використання блоків, роликів, тандемів та т.п. для руху учасників на </w:t>
      </w:r>
      <w:proofErr w:type="spellStart"/>
      <w:r>
        <w:rPr>
          <w:color w:val="000000"/>
          <w:sz w:val="28"/>
          <w:shd w:val="clear" w:color="auto" w:fill="FFFFFF"/>
          <w:lang w:val="uk-UA"/>
        </w:rPr>
        <w:t>крутопохилій</w:t>
      </w:r>
      <w:proofErr w:type="spellEnd"/>
      <w:r>
        <w:rPr>
          <w:color w:val="000000"/>
          <w:sz w:val="28"/>
          <w:shd w:val="clear" w:color="auto" w:fill="FFFFFF"/>
          <w:lang w:val="uk-UA"/>
        </w:rPr>
        <w:t xml:space="preserve"> переправі вгору.</w:t>
      </w:r>
    </w:p>
    <w:p w:rsidR="00AC23D0" w:rsidRPr="003C5AE7" w:rsidRDefault="00AC23D0" w:rsidP="00AC23D0">
      <w:pPr>
        <w:pStyle w:val="Standard"/>
        <w:tabs>
          <w:tab w:val="left" w:pos="0"/>
        </w:tabs>
        <w:rPr>
          <w:lang w:val="ru-RU"/>
        </w:rPr>
      </w:pPr>
    </w:p>
    <w:p w:rsidR="000F5228" w:rsidRDefault="000F5228" w:rsidP="000F5228">
      <w:pPr>
        <w:pStyle w:val="Standard"/>
        <w:jc w:val="center"/>
      </w:pPr>
      <w:r>
        <w:rPr>
          <w:b/>
          <w:color w:val="000000"/>
          <w:sz w:val="28"/>
          <w:shd w:val="clear" w:color="auto" w:fill="FFFFFF"/>
          <w:lang w:val="uk-UA"/>
        </w:rPr>
        <w:t xml:space="preserve">Виконання </w:t>
      </w:r>
      <w:proofErr w:type="spellStart"/>
      <w:r>
        <w:rPr>
          <w:b/>
          <w:color w:val="000000"/>
          <w:sz w:val="28"/>
          <w:shd w:val="clear" w:color="auto" w:fill="FFFFFF"/>
          <w:lang w:val="uk-UA"/>
        </w:rPr>
        <w:t>поліспастних</w:t>
      </w:r>
      <w:proofErr w:type="spellEnd"/>
      <w:r>
        <w:rPr>
          <w:b/>
          <w:color w:val="000000"/>
          <w:sz w:val="28"/>
          <w:shd w:val="clear" w:color="auto" w:fill="FFFFFF"/>
          <w:lang w:val="uk-UA"/>
        </w:rPr>
        <w:t xml:space="preserve"> систем</w:t>
      </w:r>
    </w:p>
    <w:p w:rsidR="000F5228" w:rsidRDefault="000F5228" w:rsidP="000F5228">
      <w:pPr>
        <w:pStyle w:val="Standard"/>
        <w:ind w:firstLine="708"/>
        <w:jc w:val="center"/>
        <w:rPr>
          <w:b/>
          <w:color w:val="000000"/>
          <w:sz w:val="28"/>
          <w:shd w:val="clear" w:color="auto" w:fill="FFFFFF"/>
        </w:rPr>
      </w:pPr>
    </w:p>
    <w:tbl>
      <w:tblPr>
        <w:tblW w:w="10680" w:type="dxa"/>
        <w:tblInd w:w="-601" w:type="dxa"/>
        <w:tblLayout w:type="fixed"/>
        <w:tblCellMar>
          <w:left w:w="10" w:type="dxa"/>
          <w:right w:w="10" w:type="dxa"/>
        </w:tblCellMar>
        <w:tblLook w:val="04A0"/>
      </w:tblPr>
      <w:tblGrid>
        <w:gridCol w:w="10680"/>
      </w:tblGrid>
      <w:tr w:rsidR="000F5228" w:rsidTr="00AC23D0">
        <w:trPr>
          <w:trHeight w:val="1"/>
        </w:trPr>
        <w:tc>
          <w:tcPr>
            <w:tcW w:w="10680"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pPr>
            <w:r>
              <w:rPr>
                <w:noProof/>
                <w:lang w:val="uk-UA" w:eastAsia="uk-UA" w:bidi="ar-SA"/>
              </w:rPr>
              <w:drawing>
                <wp:inline distT="0" distB="0" distL="0" distR="0">
                  <wp:extent cx="6381750"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1752600"/>
                          </a:xfrm>
                          <a:prstGeom prst="rect">
                            <a:avLst/>
                          </a:prstGeom>
                          <a:noFill/>
                          <a:ln>
                            <a:noFill/>
                          </a:ln>
                        </pic:spPr>
                      </pic:pic>
                    </a:graphicData>
                  </a:graphic>
                </wp:inline>
              </w:drawing>
            </w:r>
          </w:p>
          <w:p w:rsidR="000F5228" w:rsidRDefault="000F5228">
            <w:pPr>
              <w:pStyle w:val="Standard"/>
              <w:ind w:firstLine="708"/>
              <w:jc w:val="center"/>
            </w:pPr>
            <w:r>
              <w:rPr>
                <w:color w:val="000000"/>
                <w:sz w:val="28"/>
                <w:shd w:val="clear" w:color="auto" w:fill="FFFFFF"/>
              </w:rPr>
              <w:t>"</w:t>
            </w:r>
            <w:r>
              <w:rPr>
                <w:color w:val="000000"/>
                <w:sz w:val="28"/>
                <w:shd w:val="clear" w:color="auto" w:fill="FFFFFF"/>
                <w:lang w:val="uk-UA"/>
              </w:rPr>
              <w:t>Одинарний" поліспаст</w:t>
            </w:r>
          </w:p>
          <w:p w:rsidR="000F5228" w:rsidRDefault="000F5228">
            <w:pPr>
              <w:pStyle w:val="Standard"/>
              <w:jc w:val="center"/>
              <w:rPr>
                <w:rFonts w:ascii="Calibri" w:hAnsi="Calibri"/>
                <w:color w:val="000000"/>
                <w:sz w:val="22"/>
                <w:shd w:val="clear" w:color="auto" w:fill="FFFFFF"/>
              </w:rPr>
            </w:pPr>
          </w:p>
        </w:tc>
      </w:tr>
      <w:tr w:rsidR="000F5228" w:rsidTr="00AC23D0">
        <w:trPr>
          <w:trHeight w:val="1"/>
        </w:trPr>
        <w:tc>
          <w:tcPr>
            <w:tcW w:w="10680"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pPr>
            <w:r>
              <w:rPr>
                <w:noProof/>
                <w:lang w:val="uk-UA" w:eastAsia="uk-UA" w:bidi="ar-SA"/>
              </w:rPr>
              <w:lastRenderedPageBreak/>
              <w:drawing>
                <wp:inline distT="0" distB="0" distL="0" distR="0">
                  <wp:extent cx="6381750" cy="1733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1733550"/>
                          </a:xfrm>
                          <a:prstGeom prst="rect">
                            <a:avLst/>
                          </a:prstGeom>
                          <a:noFill/>
                          <a:ln>
                            <a:noFill/>
                          </a:ln>
                        </pic:spPr>
                      </pic:pic>
                    </a:graphicData>
                  </a:graphic>
                </wp:inline>
              </w:drawing>
            </w:r>
          </w:p>
          <w:p w:rsidR="000F5228" w:rsidRDefault="000F5228">
            <w:pPr>
              <w:pStyle w:val="Standard"/>
              <w:ind w:firstLine="708"/>
              <w:jc w:val="center"/>
            </w:pPr>
            <w:r>
              <w:rPr>
                <w:color w:val="000000"/>
                <w:sz w:val="28"/>
                <w:shd w:val="clear" w:color="auto" w:fill="FFFFFF"/>
              </w:rPr>
              <w:t>"</w:t>
            </w:r>
            <w:r>
              <w:rPr>
                <w:color w:val="000000"/>
                <w:sz w:val="28"/>
                <w:shd w:val="clear" w:color="auto" w:fill="FFFFFF"/>
                <w:lang w:val="uk-UA"/>
              </w:rPr>
              <w:t>Полуторний" поліспаст</w:t>
            </w:r>
          </w:p>
          <w:p w:rsidR="000F5228" w:rsidRDefault="000F5228">
            <w:pPr>
              <w:pStyle w:val="Standard"/>
              <w:jc w:val="center"/>
              <w:rPr>
                <w:rFonts w:ascii="Calibri" w:hAnsi="Calibri"/>
                <w:color w:val="000000"/>
                <w:sz w:val="22"/>
                <w:shd w:val="clear" w:color="auto" w:fill="FFFFFF"/>
              </w:rPr>
            </w:pPr>
          </w:p>
        </w:tc>
      </w:tr>
      <w:tr w:rsidR="000F5228" w:rsidTr="00AC23D0">
        <w:trPr>
          <w:trHeight w:val="1"/>
        </w:trPr>
        <w:tc>
          <w:tcPr>
            <w:tcW w:w="10680"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pPr>
            <w:r>
              <w:rPr>
                <w:noProof/>
                <w:lang w:val="uk-UA" w:eastAsia="uk-UA" w:bidi="ar-SA"/>
              </w:rPr>
              <w:drawing>
                <wp:inline distT="0" distB="0" distL="0" distR="0">
                  <wp:extent cx="6381750" cy="1771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1771650"/>
                          </a:xfrm>
                          <a:prstGeom prst="rect">
                            <a:avLst/>
                          </a:prstGeom>
                          <a:noFill/>
                          <a:ln>
                            <a:noFill/>
                          </a:ln>
                        </pic:spPr>
                      </pic:pic>
                    </a:graphicData>
                  </a:graphic>
                </wp:inline>
              </w:drawing>
            </w:r>
          </w:p>
          <w:p w:rsidR="000F5228" w:rsidRDefault="000F5228">
            <w:pPr>
              <w:pStyle w:val="Standard"/>
              <w:ind w:firstLine="708"/>
              <w:jc w:val="center"/>
            </w:pPr>
            <w:r>
              <w:rPr>
                <w:color w:val="000000"/>
                <w:sz w:val="28"/>
                <w:shd w:val="clear" w:color="auto" w:fill="FFFFFF"/>
              </w:rPr>
              <w:t>"</w:t>
            </w:r>
            <w:r>
              <w:rPr>
                <w:color w:val="000000"/>
                <w:sz w:val="28"/>
                <w:shd w:val="clear" w:color="auto" w:fill="FFFFFF"/>
                <w:lang w:val="uk-UA"/>
              </w:rPr>
              <w:t>Подвійний" поліспаст</w:t>
            </w:r>
          </w:p>
          <w:p w:rsidR="000F5228" w:rsidRDefault="000F5228">
            <w:pPr>
              <w:pStyle w:val="Standard"/>
              <w:jc w:val="center"/>
              <w:rPr>
                <w:rFonts w:ascii="Calibri" w:hAnsi="Calibri"/>
                <w:color w:val="000000"/>
                <w:sz w:val="22"/>
                <w:shd w:val="clear" w:color="auto" w:fill="FFFFFF"/>
              </w:rPr>
            </w:pPr>
          </w:p>
        </w:tc>
      </w:tr>
      <w:tr w:rsidR="000F5228" w:rsidTr="00AC23D0">
        <w:trPr>
          <w:trHeight w:val="1"/>
        </w:trPr>
        <w:tc>
          <w:tcPr>
            <w:tcW w:w="10680"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0F5228" w:rsidRDefault="000F5228">
            <w:pPr>
              <w:pStyle w:val="Standard"/>
              <w:jc w:val="center"/>
            </w:pPr>
            <w:r>
              <w:rPr>
                <w:noProof/>
                <w:lang w:val="uk-UA" w:eastAsia="uk-UA" w:bidi="ar-SA"/>
              </w:rPr>
              <w:drawing>
                <wp:inline distT="0" distB="0" distL="0" distR="0">
                  <wp:extent cx="6372225" cy="1752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2225" cy="1752600"/>
                          </a:xfrm>
                          <a:prstGeom prst="rect">
                            <a:avLst/>
                          </a:prstGeom>
                          <a:noFill/>
                          <a:ln>
                            <a:noFill/>
                          </a:ln>
                        </pic:spPr>
                      </pic:pic>
                    </a:graphicData>
                  </a:graphic>
                </wp:inline>
              </w:drawing>
            </w:r>
          </w:p>
          <w:p w:rsidR="000F5228" w:rsidRDefault="000F5228">
            <w:pPr>
              <w:pStyle w:val="Standard"/>
              <w:jc w:val="center"/>
            </w:pPr>
            <w:r>
              <w:rPr>
                <w:color w:val="000000"/>
                <w:sz w:val="28"/>
                <w:shd w:val="clear" w:color="auto" w:fill="FFFFFF"/>
                <w:lang w:val="uk-UA"/>
              </w:rPr>
              <w:t xml:space="preserve">Поліспаст складності 2.5 - </w:t>
            </w:r>
            <w:r>
              <w:rPr>
                <w:b/>
                <w:color w:val="000000"/>
                <w:sz w:val="28"/>
                <w:shd w:val="clear" w:color="auto" w:fill="FFFFFF"/>
                <w:lang w:val="uk-UA"/>
              </w:rPr>
              <w:t>ЗАБОРОНЕНО</w:t>
            </w:r>
          </w:p>
          <w:p w:rsidR="000F5228" w:rsidRDefault="000F5228">
            <w:pPr>
              <w:pStyle w:val="Standard"/>
              <w:jc w:val="center"/>
              <w:rPr>
                <w:rFonts w:ascii="Calibri" w:hAnsi="Calibri"/>
                <w:color w:val="000000"/>
                <w:sz w:val="22"/>
                <w:shd w:val="clear" w:color="auto" w:fill="FFFFFF"/>
              </w:rPr>
            </w:pPr>
          </w:p>
        </w:tc>
      </w:tr>
    </w:tbl>
    <w:p w:rsidR="000F5228" w:rsidRDefault="000F5228" w:rsidP="000F5228">
      <w:pPr>
        <w:pStyle w:val="Standard"/>
        <w:ind w:firstLine="708"/>
        <w:jc w:val="center"/>
        <w:rPr>
          <w:color w:val="000000"/>
          <w:sz w:val="28"/>
          <w:shd w:val="clear" w:color="auto" w:fill="FFFFFF"/>
        </w:rPr>
      </w:pPr>
    </w:p>
    <w:p w:rsidR="00D63982" w:rsidRPr="00AC23D0" w:rsidRDefault="00D63982">
      <w:pPr>
        <w:rPr>
          <w:lang w:val="uk-UA"/>
        </w:rPr>
      </w:pPr>
    </w:p>
    <w:sectPr w:rsidR="00D63982" w:rsidRPr="00AC23D0" w:rsidSect="003C5A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8D5"/>
    <w:multiLevelType w:val="multilevel"/>
    <w:tmpl w:val="AD06390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10182148"/>
    <w:multiLevelType w:val="multilevel"/>
    <w:tmpl w:val="0D1437E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2A4843D2"/>
    <w:multiLevelType w:val="multilevel"/>
    <w:tmpl w:val="3474B0A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32DB42EF"/>
    <w:multiLevelType w:val="multilevel"/>
    <w:tmpl w:val="20DE5A5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520B4871"/>
    <w:multiLevelType w:val="multilevel"/>
    <w:tmpl w:val="D710084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97918"/>
    <w:rsid w:val="000F5228"/>
    <w:rsid w:val="000F5357"/>
    <w:rsid w:val="003C5AE7"/>
    <w:rsid w:val="00797918"/>
    <w:rsid w:val="0094579F"/>
    <w:rsid w:val="00AB5D40"/>
    <w:rsid w:val="00AC23D0"/>
    <w:rsid w:val="00BA66AB"/>
    <w:rsid w:val="00D63982"/>
    <w:rsid w:val="00D666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2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522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0F5228"/>
    <w:rPr>
      <w:rFonts w:ascii="Tahoma" w:hAnsi="Tahoma"/>
      <w:sz w:val="16"/>
      <w:szCs w:val="16"/>
    </w:rPr>
  </w:style>
  <w:style w:type="character" w:customStyle="1" w:styleId="a4">
    <w:name w:val="Текст выноски Знак"/>
    <w:basedOn w:val="a0"/>
    <w:link w:val="a3"/>
    <w:uiPriority w:val="99"/>
    <w:semiHidden/>
    <w:rsid w:val="000F5228"/>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2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522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0F5228"/>
    <w:rPr>
      <w:rFonts w:ascii="Tahoma" w:hAnsi="Tahoma"/>
      <w:sz w:val="16"/>
      <w:szCs w:val="16"/>
    </w:rPr>
  </w:style>
  <w:style w:type="character" w:customStyle="1" w:styleId="a4">
    <w:name w:val="Текст выноски Знак"/>
    <w:basedOn w:val="a0"/>
    <w:link w:val="a3"/>
    <w:uiPriority w:val="99"/>
    <w:semiHidden/>
    <w:rsid w:val="000F5228"/>
    <w:rPr>
      <w:rFonts w:ascii="Tahoma" w:eastAsia="Andale Sans UI" w:hAnsi="Tahoma" w:cs="Tahoma"/>
      <w:kern w:val="3"/>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1651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3837</Words>
  <Characters>2188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Nina</cp:lastModifiedBy>
  <cp:revision>5</cp:revision>
  <dcterms:created xsi:type="dcterms:W3CDTF">2017-03-14T08:10:00Z</dcterms:created>
  <dcterms:modified xsi:type="dcterms:W3CDTF">2017-04-04T17:34:00Z</dcterms:modified>
</cp:coreProperties>
</file>